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</w:t>
        <w:tab/>
        <w:br/>
        <w:t>муниципальной услуги «Внесение изменений в схемы размещения рекламных конструкций»</w:t>
        <w:tab/>
        <w:br/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Гражданским кодексом РФ, Законом от 14.07.1992 № 3297⁠-⁠1 «О закрытом административно⁠-⁠территориальном образовании», Федеральными законами от 06.10.2003 № 131⁠-⁠ФЗ «Об общих принципах организации местного самоуправления в Российской Федерации», Уставом ЗАТО городской округ Молодёжный Московской области,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«Внесение изменений в схемы размещения рекламных конструкций».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Вступает в силу со дня его официального опубликования.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474" w:footer="0" w:bottom="1134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24657</TotalTime>
  <Application>LibreOffice/7.4.7.2$Linux_X86_64 LibreOffice_project/40$Build-2</Application>
  <AppVersion>15.0000</AppVersion>
  <Pages>8</Pages>
  <Words>31</Words>
  <Characters>262</Characters>
  <CharactersWithSpaces>272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2025-03-04T12:41:33Z</dcterms:modified>
  <cp:revision>1217</cp:revision>
  <dc:subject/>
  <dc:title/>
</cp:coreProperties>
</file>